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467FCA">
        <w:rPr>
          <w:rFonts w:ascii="Arial" w:eastAsia="宋体" w:hAnsi="Arial" w:cs="Arial"/>
          <w:b/>
          <w:bCs/>
          <w:kern w:val="0"/>
          <w:sz w:val="22"/>
          <w:lang w:val="en-GB"/>
        </w:rPr>
        <w:t>7</w:t>
      </w:r>
      <w:r w:rsidR="00BB3CE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</w:t>
      </w:r>
      <w:r w:rsidR="00676541">
        <w:rPr>
          <w:rFonts w:ascii="Arial" w:eastAsia="宋体" w:hAnsi="Arial" w:cs="Arial"/>
          <w:b/>
          <w:bCs/>
          <w:kern w:val="0"/>
          <w:sz w:val="22"/>
          <w:lang w:val="en-GB"/>
        </w:rPr>
        <w:t>is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1A6A0A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80714B">
        <w:rPr>
          <w:rFonts w:ascii="Arial" w:eastAsia="宋体" w:hAnsi="Arial" w:cs="Times New Roman" w:hint="eastAsia"/>
          <w:b/>
          <w:kern w:val="0"/>
          <w:sz w:val="22"/>
          <w:lang w:val="x-none"/>
        </w:rPr>
        <w:t>200014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January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7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25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DF4EC5" w:rsidRPr="00DF4EC5">
        <w:rPr>
          <w:rFonts w:ascii="Arial" w:eastAsia="宋体" w:hAnsi="Arial" w:cs="Times New Roman"/>
          <w:b/>
          <w:kern w:val="0"/>
          <w:sz w:val="22"/>
          <w:lang w:val="x-none"/>
        </w:rPr>
        <w:t>UE features for IIoT and URLLC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C2634B">
        <w:rPr>
          <w:rFonts w:ascii="Arial" w:eastAsia="宋体" w:hAnsi="Arial" w:cs="Times New Roman"/>
          <w:b/>
          <w:kern w:val="0"/>
          <w:sz w:val="22"/>
          <w:lang w:val="x-none"/>
        </w:rPr>
        <w:t>15</w:t>
      </w:r>
      <w:r w:rsidR="001F7BB4">
        <w:rPr>
          <w:rFonts w:ascii="Arial" w:eastAsia="宋体" w:hAnsi="Arial" w:cs="Times New Roman"/>
          <w:b/>
          <w:kern w:val="0"/>
          <w:sz w:val="22"/>
          <w:lang w:val="x-none"/>
        </w:rPr>
        <w:t>.3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>In this contribution, we further provide our consideration</w:t>
      </w:r>
      <w:bookmarkStart w:id="4" w:name="_GoBack"/>
      <w:bookmarkEnd w:id="4"/>
      <w:r w:rsidRPr="004A06BE">
        <w:rPr>
          <w:rFonts w:ascii="Times New Roman" w:hAnsi="Times New Roman" w:cs="Times New Roman"/>
          <w:sz w:val="20"/>
          <w:szCs w:val="20"/>
        </w:rPr>
        <w:t xml:space="preserve">s on </w:t>
      </w:r>
      <w:r w:rsidR="00DF4EC5" w:rsidRPr="00DF4EC5">
        <w:rPr>
          <w:rFonts w:ascii="Times New Roman" w:hAnsi="Times New Roman" w:cs="Times New Roman"/>
          <w:sz w:val="20"/>
          <w:szCs w:val="20"/>
        </w:rPr>
        <w:t>UE</w:t>
      </w:r>
      <w:r w:rsidR="00DF4EC5">
        <w:rPr>
          <w:rFonts w:ascii="Times New Roman" w:hAnsi="Times New Roman" w:cs="Times New Roman"/>
          <w:sz w:val="20"/>
          <w:szCs w:val="20"/>
        </w:rPr>
        <w:t xml:space="preserve"> features for Rel-17 IIoT/URLLC</w:t>
      </w:r>
      <w:r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DF4EC5" w:rsidRDefault="00DF4EC5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[1], the following UE features on </w:t>
      </w:r>
      <w:r w:rsidRPr="00DF4EC5">
        <w:rPr>
          <w:rFonts w:ascii="Times New Roman" w:hAnsi="Times New Roman" w:cs="Times New Roman"/>
          <w:kern w:val="0"/>
          <w:sz w:val="20"/>
          <w:szCs w:val="20"/>
          <w:lang w:val="en-GB"/>
        </w:rPr>
        <w:t>IIoT and URLLC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were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agreed in RAN1#10</w:t>
      </w:r>
      <w:r w:rsidR="00467FCA">
        <w:rPr>
          <w:rFonts w:ascii="Times New Roman" w:hAnsi="Times New Roman" w:cs="Times New Roman"/>
          <w:kern w:val="0"/>
          <w:sz w:val="20"/>
          <w:szCs w:val="20"/>
          <w:lang w:val="en-GB"/>
        </w:rPr>
        <w:t>7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-e</w:t>
      </w:r>
      <w:r w:rsidR="009416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DF4EC5" w:rsidRPr="00EB2EEE" w:rsidRDefault="00DF4EC5" w:rsidP="00DF4EC5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EB2EEE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 w:rsidR="00DF4EC5" w:rsidRPr="00DF4EC5" w:rsidRDefault="00DF4EC5" w:rsidP="00DF4EC5">
      <w:pPr>
        <w:widowControl/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DF4EC5">
        <w:rPr>
          <w:rFonts w:ascii="Times New Roman" w:hAnsi="Times New Roman" w:cs="Times New Roman"/>
          <w:sz w:val="20"/>
          <w:szCs w:val="20"/>
        </w:rPr>
        <w:t>FG 25-14 is kept as “PHY prioritization of overlapping low-priority DG-PUSCH and high-priority CG-PUSCH” as follows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1276"/>
        <w:gridCol w:w="1417"/>
        <w:gridCol w:w="567"/>
        <w:gridCol w:w="426"/>
        <w:gridCol w:w="425"/>
        <w:gridCol w:w="283"/>
        <w:gridCol w:w="709"/>
        <w:gridCol w:w="425"/>
        <w:gridCol w:w="567"/>
        <w:gridCol w:w="567"/>
        <w:gridCol w:w="257"/>
        <w:gridCol w:w="1139"/>
      </w:tblGrid>
      <w:tr w:rsidR="000F62FE" w:rsidRPr="00DF4EC5" w:rsidTr="000F62FE">
        <w:trPr>
          <w:trHeight w:val="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DF4EC5">
              <w:rPr>
                <w:rFonts w:ascii="Times New Roman" w:hAnsi="Times New Roman"/>
                <w:sz w:val="20"/>
                <w:lang w:eastAsia="ja-JP"/>
              </w:rPr>
              <w:t>25. NR_IIOT_URLLC_enh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DF4EC5">
              <w:rPr>
                <w:rFonts w:ascii="Times New Roman" w:hAnsi="Times New Roman"/>
                <w:strike/>
                <w:color w:val="FF0000"/>
                <w:sz w:val="20"/>
                <w:lang w:eastAsia="ja-JP"/>
              </w:rPr>
              <w:t>[</w:t>
            </w:r>
            <w:r w:rsidRPr="00DF4EC5">
              <w:rPr>
                <w:rFonts w:ascii="Times New Roman" w:hAnsi="Times New Roman"/>
                <w:sz w:val="20"/>
                <w:lang w:eastAsia="ja-JP"/>
              </w:rPr>
              <w:t>25-14</w:t>
            </w:r>
            <w:r w:rsidRPr="00DF4EC5">
              <w:rPr>
                <w:rFonts w:ascii="Times New Roman" w:hAnsi="Times New Roman"/>
                <w:strike/>
                <w:color w:val="FF0000"/>
                <w:sz w:val="20"/>
                <w:lang w:eastAsia="ja-JP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EC5" w:rsidRPr="00DF4EC5" w:rsidRDefault="00DF4EC5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</w:rPr>
            </w:pPr>
            <w:r w:rsidRPr="00DF4EC5">
              <w:rPr>
                <w:rFonts w:ascii="Times New Roman" w:eastAsia="Times New Roman" w:hAnsi="Times New Roman"/>
                <w:sz w:val="20"/>
                <w:lang w:val="en-US" w:eastAsia="ja-JP"/>
              </w:rPr>
              <w:t>PHY prioritization of overlapping low-priority DG-PUSCH and high-priority CG-PUSCH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EC5" w:rsidRPr="00DF4EC5" w:rsidRDefault="00DF4EC5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</w:rPr>
            </w:pPr>
            <w:r w:rsidRPr="00DF4EC5">
              <w:rPr>
                <w:rFonts w:ascii="Times New Roman" w:eastAsia="Times New Roman" w:hAnsi="Times New Roman"/>
                <w:sz w:val="20"/>
                <w:lang w:val="en-US" w:eastAsia="ja-JP"/>
              </w:rPr>
              <w:t>Support PHY prioritization for the case where low-priority DG-PUSCH collides with high-priority CG-PUSCH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</w:rPr>
            </w:pPr>
            <w:r w:rsidRPr="00DF4EC5">
              <w:rPr>
                <w:rFonts w:ascii="Times New Roman" w:hAnsi="Times New Roman"/>
                <w:sz w:val="20"/>
              </w:rPr>
              <w:t>12-1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DF4EC5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DF4EC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  <w:lang w:eastAsia="ja-JP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DF4EC5">
              <w:rPr>
                <w:rFonts w:ascii="Times New Roman" w:hAnsi="Times New Roman"/>
                <w:sz w:val="20"/>
                <w:lang w:eastAsia="ja-JP"/>
              </w:rPr>
              <w:t>Per band</w:t>
            </w:r>
          </w:p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DF4EC5">
              <w:rPr>
                <w:rFonts w:ascii="Times New Roman" w:hAnsi="Times New Roman"/>
                <w:sz w:val="20"/>
              </w:rPr>
              <w:t>N/A</w:t>
            </w:r>
          </w:p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DF4EC5">
              <w:rPr>
                <w:rFonts w:ascii="Times New Roman" w:hAnsi="Times New Roman"/>
                <w:sz w:val="20"/>
              </w:rPr>
              <w:t>N/A</w:t>
            </w:r>
          </w:p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  <w:lang w:eastAsia="ja-JP"/>
              </w:rPr>
            </w:pPr>
            <w:r w:rsidRPr="00DF4EC5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EC5" w:rsidRPr="00DF4EC5" w:rsidRDefault="00DF4EC5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DF4EC5">
              <w:rPr>
                <w:rFonts w:ascii="Times New Roman" w:hAnsi="Times New Roman"/>
                <w:sz w:val="20"/>
              </w:rPr>
              <w:t>Optional with capability signaling</w:t>
            </w:r>
          </w:p>
          <w:p w:rsidR="00DF4EC5" w:rsidRPr="00DF4EC5" w:rsidRDefault="00DF4EC5" w:rsidP="00C62EE3">
            <w:pPr>
              <w:pStyle w:val="TAL"/>
              <w:rPr>
                <w:rFonts w:ascii="Times New Roman" w:eastAsia="宋体" w:hAnsi="Times New Roman"/>
                <w:sz w:val="20"/>
              </w:rPr>
            </w:pPr>
          </w:p>
        </w:tc>
      </w:tr>
    </w:tbl>
    <w:p w:rsidR="00DF4EC5" w:rsidRDefault="00DF4EC5" w:rsidP="00DF4EC5">
      <w:pPr>
        <w:spacing w:afterLines="50" w:after="120"/>
        <w:rPr>
          <w:b/>
          <w:bCs/>
          <w:szCs w:val="21"/>
        </w:rPr>
      </w:pPr>
      <w:r w:rsidRPr="00DF4EC5">
        <w:rPr>
          <w:rFonts w:ascii="Times New Roman" w:eastAsia="MS PGothic" w:hAnsi="Times New Roman" w:cs="Times New Roman"/>
          <w:color w:val="000000" w:themeColor="text1"/>
          <w:sz w:val="20"/>
          <w:szCs w:val="20"/>
        </w:rPr>
        <w:t>Note that any contents highlighted in yellow mean FFS and to be discussed further.</w:t>
      </w:r>
    </w:p>
    <w:tbl>
      <w:tblPr>
        <w:tblStyle w:val="ad"/>
        <w:tblW w:w="9351" w:type="dxa"/>
        <w:tblLayout w:type="fixed"/>
        <w:tblLook w:val="04A0" w:firstRow="1" w:lastRow="0" w:firstColumn="1" w:lastColumn="0" w:noHBand="0" w:noVBand="1"/>
      </w:tblPr>
      <w:tblGrid>
        <w:gridCol w:w="761"/>
        <w:gridCol w:w="8590"/>
      </w:tblGrid>
      <w:tr w:rsidR="007F204F" w:rsidTr="007F204F">
        <w:tc>
          <w:tcPr>
            <w:tcW w:w="761" w:type="dxa"/>
            <w:shd w:val="clear" w:color="auto" w:fill="auto"/>
            <w:vAlign w:val="center"/>
          </w:tcPr>
          <w:p w:rsidR="000F62FE" w:rsidRPr="00512394" w:rsidRDefault="000F62FE" w:rsidP="00C62EE3">
            <w:pPr>
              <w:rPr>
                <w:rFonts w:eastAsia="Malgun Gothic"/>
                <w:b/>
                <w:lang w:eastAsia="ko-KR"/>
              </w:rPr>
            </w:pPr>
            <w:r w:rsidRPr="007F204F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590" w:type="dxa"/>
            <w:shd w:val="clear" w:color="auto" w:fill="auto"/>
            <w:vAlign w:val="center"/>
          </w:tcPr>
          <w:p w:rsidR="000F62FE" w:rsidRDefault="000F62FE" w:rsidP="007F204F">
            <w:pPr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Based on </w:t>
            </w:r>
            <w:r w:rsidR="007F204F">
              <w:rPr>
                <w:rFonts w:eastAsia="Malgun Gothic"/>
                <w:lang w:eastAsia="ko-KR"/>
              </w:rPr>
              <w:t xml:space="preserve">the following agreements in </w:t>
            </w:r>
            <w:r w:rsidR="007F204F">
              <w:t xml:space="preserve">RAN1#107-e, </w:t>
            </w:r>
            <w:r w:rsidR="007F204F">
              <w:rPr>
                <w:rFonts w:eastAsiaTheme="minorEastAsia"/>
                <w:lang w:eastAsia="zh-CN"/>
              </w:rPr>
              <w:t xml:space="preserve">the </w:t>
            </w:r>
            <w:hyperlink r:id="rId8" w:tgtFrame="_blank" w:history="1">
              <w:r w:rsidR="007F204F" w:rsidRPr="00B1345B">
                <w:rPr>
                  <w:rFonts w:eastAsiaTheme="minorEastAsia"/>
                  <w:lang w:eastAsia="zh-CN"/>
                </w:rPr>
                <w:t>square brackets</w:t>
              </w:r>
            </w:hyperlink>
            <w:r w:rsidR="007F204F" w:rsidRPr="00B1345B">
              <w:rPr>
                <w:rFonts w:eastAsiaTheme="minorEastAsia"/>
                <w:lang w:eastAsia="zh-CN"/>
              </w:rPr>
              <w:t xml:space="preserve"> of </w:t>
            </w:r>
            <w:r w:rsidR="007F204F" w:rsidRPr="00B1345B">
              <w:rPr>
                <w:rFonts w:eastAsiaTheme="minorEastAsia" w:hint="eastAsia"/>
                <w:lang w:eastAsia="zh-CN"/>
              </w:rPr>
              <w:t>F</w:t>
            </w:r>
            <w:r w:rsidR="007F204F" w:rsidRPr="00B1345B">
              <w:rPr>
                <w:rFonts w:eastAsiaTheme="minorEastAsia"/>
                <w:lang w:eastAsia="zh-CN"/>
              </w:rPr>
              <w:t>G 25-1</w:t>
            </w:r>
            <w:r w:rsidR="007F204F">
              <w:rPr>
                <w:rFonts w:eastAsiaTheme="minorEastAsia"/>
                <w:lang w:eastAsia="zh-CN"/>
              </w:rPr>
              <w:t>5</w:t>
            </w:r>
            <w:r w:rsidR="007F204F" w:rsidRPr="00B1345B">
              <w:rPr>
                <w:rFonts w:eastAsiaTheme="minorEastAsia"/>
                <w:lang w:eastAsia="zh-CN"/>
              </w:rPr>
              <w:t xml:space="preserve"> can be </w:t>
            </w:r>
            <w:r w:rsidR="007F204F">
              <w:rPr>
                <w:rFonts w:eastAsiaTheme="minorEastAsia"/>
                <w:lang w:eastAsia="zh-CN"/>
              </w:rPr>
              <w:t>removed.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48"/>
            </w:tblGrid>
            <w:tr w:rsidR="007F204F" w:rsidTr="007F204F">
              <w:tc>
                <w:tcPr>
                  <w:tcW w:w="7748" w:type="dxa"/>
                </w:tcPr>
                <w:p w:rsidR="007F204F" w:rsidRPr="003347E5" w:rsidRDefault="007F204F" w:rsidP="007F204F">
                  <w:pPr>
                    <w:rPr>
                      <w:highlight w:val="green"/>
                    </w:rPr>
                  </w:pPr>
                  <w:r w:rsidRPr="003347E5">
                    <w:rPr>
                      <w:highlight w:val="green"/>
                    </w:rPr>
                    <w:t>Agreement</w:t>
                  </w:r>
                </w:p>
                <w:p w:rsidR="007F204F" w:rsidRPr="0082445A" w:rsidRDefault="007F204F" w:rsidP="007F204F">
                  <w:pPr>
                    <w:rPr>
                      <w:rFonts w:eastAsia="Malgun Gothic"/>
                      <w:lang w:eastAsia="zh-CN"/>
                    </w:rPr>
                  </w:pPr>
                  <w:r w:rsidRPr="0082445A">
                    <w:rPr>
                      <w:rFonts w:eastAsia="Malgun Gothic" w:hint="eastAsia"/>
                      <w:lang w:eastAsia="zh-CN"/>
                    </w:rPr>
                    <w:t xml:space="preserve">For the overlapping between LP CG and HP DG, </w:t>
                  </w:r>
                  <w:r w:rsidRPr="00592188">
                    <w:rPr>
                      <w:rFonts w:eastAsia="Yu Gothic"/>
                    </w:rPr>
                    <w:t xml:space="preserve">if MAC delivers two MAC PDUs to PHY, </w:t>
                  </w:r>
                  <w:r w:rsidRPr="0082445A">
                    <w:rPr>
                      <w:rFonts w:eastAsia="Malgun Gothic"/>
                      <w:lang w:eastAsia="zh-CN"/>
                    </w:rPr>
                    <w:t xml:space="preserve">PHY layer can make the prioritization so that the UE is expected to cancel the overlapping low priority CG PUSCH by the first overlapping symbol at the latest. </w:t>
                  </w:r>
                </w:p>
                <w:p w:rsidR="007F204F" w:rsidRPr="00C168B9" w:rsidRDefault="007F204F" w:rsidP="007F204F">
                  <w:pPr>
                    <w:pStyle w:val="a6"/>
                    <w:widowControl/>
                    <w:numPr>
                      <w:ilvl w:val="0"/>
                      <w:numId w:val="48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firstLineChars="0"/>
                    <w:contextualSpacing/>
                    <w:jc w:val="left"/>
                    <w:textAlignment w:val="baseline"/>
                  </w:pPr>
                  <w:r w:rsidRPr="00C168B9">
                    <w:rPr>
                      <w:rFonts w:eastAsia="Malgun Gothic"/>
                      <w:lang w:eastAsia="zh-CN"/>
                    </w:rPr>
                    <w:t>On top of Rel-16 cancellation time (N2+d1) for PUCCH/PUCCH or PUCCH/PUSCH collision, additional time d3 is needed (which results N2+d1+d3 in total cancellation time) for LP CG-PUSCH and HP DG-PUSCH collision resolution.</w:t>
                  </w:r>
                </w:p>
                <w:p w:rsidR="007F204F" w:rsidRDefault="007F204F" w:rsidP="007F204F">
                  <w:pPr>
                    <w:rPr>
                      <w:rFonts w:eastAsia="Malgun Gothic"/>
                      <w:lang w:eastAsia="zh-CN"/>
                    </w:rPr>
                  </w:pPr>
                  <w:r w:rsidRPr="00C168B9">
                    <w:rPr>
                      <w:rFonts w:eastAsia="Malgun Gothic"/>
                      <w:lang w:eastAsia="zh-CN"/>
                    </w:rPr>
                    <w:t>(</w:t>
                  </w:r>
                  <w:r w:rsidRPr="00C168B9">
                    <w:rPr>
                      <w:rFonts w:eastAsia="Malgun Gothic"/>
                      <w:highlight w:val="darkYellow"/>
                      <w:lang w:eastAsia="zh-CN"/>
                    </w:rPr>
                    <w:t>Working assumption</w:t>
                  </w:r>
                  <w:r w:rsidRPr="00C168B9">
                    <w:rPr>
                      <w:rFonts w:eastAsia="Malgun Gothic"/>
                      <w:lang w:eastAsia="zh-CN"/>
                    </w:rPr>
                    <w:t xml:space="preserve">) </w:t>
                  </w:r>
                  <w:r w:rsidRPr="00C168B9">
                    <w:rPr>
                      <w:rFonts w:eastAsia="Malgun Gothic" w:hint="eastAsia"/>
                      <w:lang w:eastAsia="zh-CN"/>
                    </w:rPr>
                    <w:t>d</w:t>
                  </w:r>
                  <w:r w:rsidRPr="00C168B9">
                    <w:rPr>
                      <w:rFonts w:eastAsia="Malgun Gothic"/>
                      <w:lang w:eastAsia="zh-CN"/>
                    </w:rPr>
                    <w:t xml:space="preserve">3 = {0, </w:t>
                  </w:r>
                  <m:oMath>
                    <m:r>
                      <w:rPr>
                        <w:rFonts w:ascii="Cambria Math" w:eastAsia="Cambria Math" w:hAnsi="Cambria Math" w:cs="Cambria Math"/>
                        <w:color w:val="FF0000"/>
                        <w:lang w:eastAsia="zh-CN"/>
                      </w:rPr>
                      <m:t>1,…,</m:t>
                    </m:r>
                    <m:sSup>
                      <m:sSup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μ+1</m:t>
                        </m:r>
                      </m:sup>
                    </m:sSup>
                  </m:oMath>
                  <w:r w:rsidRPr="00C168B9">
                    <w:rPr>
                      <w:rFonts w:eastAsia="Malgun Gothic"/>
                      <w:lang w:eastAsia="zh-CN"/>
                    </w:rPr>
                    <w:t xml:space="preserve">}symbol(s) upon UE capability report, where </w:t>
                  </w:r>
                  <m:oMath>
                    <m:r>
                      <w:rPr>
                        <w:rFonts w:ascii="Cambria Math" w:eastAsia="Cambria Math" w:hAnsi="Cambria Math" w:cs="Cambria Math"/>
                        <w:lang w:eastAsia="zh-CN"/>
                      </w:rPr>
                      <m:t>μ=0,1,2,3</m:t>
                    </m:r>
                  </m:oMath>
                  <w:r w:rsidRPr="00C168B9">
                    <w:rPr>
                      <w:rFonts w:eastAsia="Malgun Gothic" w:hint="eastAsia"/>
                      <w:lang w:eastAsia="zh-CN"/>
                    </w:rPr>
                    <w:t xml:space="preserve"> </w:t>
                  </w:r>
                  <w:r w:rsidRPr="00C168B9">
                    <w:rPr>
                      <w:rFonts w:eastAsia="Malgun Gothic"/>
                      <w:lang w:eastAsia="zh-CN"/>
                    </w:rPr>
                    <w:t>for SCS=15/30/60/120kHz, respectively.</w:t>
                  </w:r>
                </w:p>
                <w:p w:rsidR="007F204F" w:rsidRPr="00C90FFF" w:rsidRDefault="007F204F" w:rsidP="007F204F">
                  <w:pPr>
                    <w:rPr>
                      <w:highlight w:val="green"/>
                    </w:rPr>
                  </w:pPr>
                  <w:r w:rsidRPr="00C90FFF">
                    <w:rPr>
                      <w:highlight w:val="green"/>
                    </w:rPr>
                    <w:t>Agreement</w:t>
                  </w:r>
                </w:p>
                <w:p w:rsidR="007F204F" w:rsidRDefault="007F204F" w:rsidP="007F204F">
                  <w:pPr>
                    <w:rPr>
                      <w:rFonts w:eastAsia="Malgun Gothic"/>
                      <w:lang w:eastAsia="ko-KR"/>
                    </w:rPr>
                  </w:pPr>
                  <w:r w:rsidRPr="00C90FFF">
                    <w:t>For collision of HP DG-PUSCH and LP CG-PUSCH, the cancellation is applied per actual repetition, if HP DG-PUSCH and/or LP CG-PUSCH is repeated.</w:t>
                  </w:r>
                </w:p>
              </w:tc>
            </w:tr>
          </w:tbl>
          <w:p w:rsidR="007F204F" w:rsidRDefault="007F204F" w:rsidP="007F204F">
            <w:r>
              <w:t>Furthermore, FG 25-14 and FG 25-15 should be merged into one feature group, FG 25-14 can be modified as follows:</w:t>
            </w:r>
          </w:p>
          <w:tbl>
            <w:tblPr>
              <w:tblW w:w="83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9"/>
              <w:gridCol w:w="4977"/>
            </w:tblGrid>
            <w:tr w:rsidR="007F204F" w:rsidRPr="00DF4EC5" w:rsidTr="007F204F">
              <w:trPr>
                <w:trHeight w:val="13"/>
              </w:trPr>
              <w:tc>
                <w:tcPr>
                  <w:tcW w:w="3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F204F" w:rsidRPr="00DF4EC5" w:rsidRDefault="007F204F" w:rsidP="007F204F">
                  <w:pPr>
                    <w:pStyle w:val="TAL"/>
                    <w:spacing w:line="256" w:lineRule="auto"/>
                    <w:rPr>
                      <w:rFonts w:ascii="Times New Roman" w:eastAsia="Times New Roman" w:hAnsi="Times New Roman"/>
                      <w:sz w:val="20"/>
                    </w:rPr>
                  </w:pPr>
                  <w:r w:rsidRPr="00DF4EC5">
                    <w:rPr>
                      <w:rFonts w:ascii="Times New Roman" w:eastAsia="Times New Roman" w:hAnsi="Times New Roman"/>
                      <w:sz w:val="20"/>
                      <w:lang w:val="en-US" w:eastAsia="ja-JP"/>
                    </w:rPr>
                    <w:t>PHY prioritization of overlapping</w:t>
                  </w:r>
                  <w:r w:rsidRPr="007F204F">
                    <w:rPr>
                      <w:rFonts w:ascii="Times New Roman" w:eastAsia="Times New Roman" w:hAnsi="Times New Roman"/>
                      <w:strike/>
                      <w:color w:val="FF0000"/>
                      <w:sz w:val="20"/>
                      <w:lang w:val="en-US" w:eastAsia="ja-JP"/>
                    </w:rPr>
                    <w:t xml:space="preserve"> low-priority </w:t>
                  </w:r>
                  <w:r w:rsidRPr="00DF4EC5">
                    <w:rPr>
                      <w:rFonts w:ascii="Times New Roman" w:eastAsia="Times New Roman" w:hAnsi="Times New Roman"/>
                      <w:sz w:val="20"/>
                      <w:lang w:val="en-US" w:eastAsia="ja-JP"/>
                    </w:rPr>
                    <w:t xml:space="preserve">DG-PUSCH and </w:t>
                  </w:r>
                  <w:r w:rsidRPr="007F204F">
                    <w:rPr>
                      <w:rFonts w:ascii="Times New Roman" w:eastAsia="Times New Roman" w:hAnsi="Times New Roman"/>
                      <w:strike/>
                      <w:sz w:val="20"/>
                      <w:lang w:val="en-US" w:eastAsia="ja-JP"/>
                    </w:rPr>
                    <w:t>high-priority</w:t>
                  </w:r>
                  <w:r w:rsidRPr="00DF4EC5">
                    <w:rPr>
                      <w:rFonts w:ascii="Times New Roman" w:eastAsia="Times New Roman" w:hAnsi="Times New Roman"/>
                      <w:sz w:val="20"/>
                      <w:lang w:val="en-US" w:eastAsia="ja-JP"/>
                    </w:rPr>
                    <w:t xml:space="preserve"> CG-PUSCH</w:t>
                  </w:r>
                  <w:r>
                    <w:rPr>
                      <w:rFonts w:ascii="Times New Roman" w:eastAsia="Times New Roman" w:hAnsi="Times New Roman"/>
                      <w:sz w:val="20"/>
                      <w:lang w:val="en-US" w:eastAsia="ja-JP"/>
                    </w:rPr>
                    <w:t xml:space="preserve"> with</w:t>
                  </w:r>
                  <w:r w:rsidRPr="00EE7344">
                    <w:rPr>
                      <w:rFonts w:cs="Arial"/>
                      <w:color w:val="FF0000"/>
                      <w:szCs w:val="18"/>
                      <w:lang w:val="en-US"/>
                    </w:rPr>
                    <w:t xml:space="preserve"> different PHY priorities</w:t>
                  </w:r>
                </w:p>
              </w:tc>
              <w:tc>
                <w:tcPr>
                  <w:tcW w:w="4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7F204F" w:rsidRDefault="007F204F" w:rsidP="007F204F">
                  <w:pPr>
                    <w:pStyle w:val="TAL"/>
                    <w:spacing w:line="256" w:lineRule="auto"/>
                    <w:rPr>
                      <w:rFonts w:ascii="Times New Roman" w:eastAsia="Times New Roman" w:hAnsi="Times New Roman"/>
                      <w:sz w:val="20"/>
                      <w:lang w:val="en-US" w:eastAsia="ja-JP"/>
                    </w:rPr>
                  </w:pPr>
                  <w:r w:rsidRPr="00DF4EC5">
                    <w:rPr>
                      <w:rFonts w:ascii="Times New Roman" w:eastAsia="Times New Roman" w:hAnsi="Times New Roman"/>
                      <w:sz w:val="20"/>
                      <w:lang w:val="en-US" w:eastAsia="ja-JP"/>
                    </w:rPr>
                    <w:t>Support PHY prioritization for the case where low-priority DG-PUSCH collides with high-priority CG-PUSCH</w:t>
                  </w:r>
                </w:p>
                <w:p w:rsidR="007F204F" w:rsidRPr="00DF4EC5" w:rsidRDefault="007F204F" w:rsidP="007F204F">
                  <w:pPr>
                    <w:pStyle w:val="TAL"/>
                    <w:spacing w:line="256" w:lineRule="auto"/>
                    <w:rPr>
                      <w:rFonts w:ascii="Times New Roman" w:eastAsia="Times New Roman" w:hAnsi="Times New Roman"/>
                      <w:sz w:val="20"/>
                    </w:rPr>
                  </w:pPr>
                  <w:r w:rsidRPr="007F204F">
                    <w:rPr>
                      <w:rFonts w:cs="Arial"/>
                      <w:color w:val="FF0000"/>
                      <w:szCs w:val="18"/>
                      <w:lang w:val="en-US"/>
                    </w:rPr>
                    <w:t>Support PHY prioritization of overlapping high-priority G-PUSCH and low-priority CG-PUSCH</w:t>
                  </w:r>
                </w:p>
              </w:tc>
            </w:tr>
          </w:tbl>
          <w:p w:rsidR="007F204F" w:rsidRPr="00332A50" w:rsidRDefault="007F204F" w:rsidP="007F204F">
            <w:pPr>
              <w:rPr>
                <w:rFonts w:eastAsia="Malgun Gothic"/>
                <w:lang w:eastAsia="ko-KR"/>
              </w:rPr>
            </w:pPr>
          </w:p>
        </w:tc>
      </w:tr>
    </w:tbl>
    <w:p w:rsidR="00DF4EC5" w:rsidRPr="000F62FE" w:rsidRDefault="00DF4EC5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p w:rsidR="00EB2EEE" w:rsidRPr="00EB2EEE" w:rsidRDefault="00EB2EEE" w:rsidP="00EB2EEE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EB2EEE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 w:rsidR="00EB2EEE" w:rsidRPr="00EB2EEE" w:rsidRDefault="00EB2EEE" w:rsidP="00EB2EEE">
      <w:pPr>
        <w:widowControl/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EB2EEE">
        <w:rPr>
          <w:rFonts w:ascii="Times New Roman" w:hAnsi="Times New Roman" w:cs="Times New Roman"/>
          <w:sz w:val="20"/>
          <w:szCs w:val="20"/>
        </w:rPr>
        <w:t>Merge FG 25-17 into FG 25-16 as follows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568"/>
        <w:gridCol w:w="708"/>
        <w:gridCol w:w="2497"/>
        <w:gridCol w:w="437"/>
        <w:gridCol w:w="442"/>
        <w:gridCol w:w="491"/>
        <w:gridCol w:w="236"/>
        <w:gridCol w:w="442"/>
        <w:gridCol w:w="402"/>
        <w:gridCol w:w="402"/>
        <w:gridCol w:w="491"/>
        <w:gridCol w:w="236"/>
        <w:gridCol w:w="863"/>
      </w:tblGrid>
      <w:tr w:rsidR="00EB2EEE" w:rsidRPr="00EB2EEE" w:rsidTr="00EB2EEE">
        <w:trPr>
          <w:trHeight w:val="20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hAnsi="Times New Roman"/>
                <w:sz w:val="20"/>
                <w:lang w:eastAsia="ja-JP"/>
              </w:rPr>
              <w:lastRenderedPageBreak/>
              <w:t>25.</w:t>
            </w:r>
            <w:r w:rsidRPr="00EB2EEE">
              <w:rPr>
                <w:rFonts w:ascii="Times New Roman" w:hAnsi="Times New Roman"/>
                <w:sz w:val="20"/>
              </w:rPr>
              <w:t xml:space="preserve"> </w:t>
            </w:r>
            <w:r w:rsidRPr="00EB2EEE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hAnsi="Times New Roman"/>
                <w:sz w:val="20"/>
                <w:lang w:eastAsia="ja-JP"/>
              </w:rPr>
              <w:t>25-16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eastAsia="Times New Roman" w:hAnsi="Times New Roman"/>
                <w:sz w:val="20"/>
                <w:lang w:eastAsia="ja-JP"/>
              </w:rPr>
              <w:t xml:space="preserve">HARQ-ACK with different priorities multiplexing </w:t>
            </w:r>
            <w:r w:rsidRPr="00EB2EEE">
              <w:rPr>
                <w:rFonts w:ascii="Times New Roman" w:eastAsia="Times New Roman" w:hAnsi="Times New Roman"/>
                <w:strike/>
                <w:color w:val="FF0000"/>
                <w:sz w:val="20"/>
                <w:lang w:eastAsia="ja-JP"/>
              </w:rPr>
              <w:t>using</w:t>
            </w:r>
            <w:r w:rsidRPr="00EB2EEE">
              <w:rPr>
                <w:rFonts w:ascii="Times New Roman" w:eastAsia="Times New Roman" w:hAnsi="Times New Roman"/>
                <w:color w:val="FF0000"/>
                <w:sz w:val="20"/>
                <w:lang w:eastAsia="ja-JP"/>
              </w:rPr>
              <w:t xml:space="preserve"> on </w:t>
            </w:r>
            <w:r w:rsidRPr="00EB2EEE">
              <w:rPr>
                <w:rFonts w:ascii="Times New Roman" w:eastAsia="Times New Roman" w:hAnsi="Times New Roman"/>
                <w:sz w:val="20"/>
                <w:lang w:eastAsia="ja-JP"/>
              </w:rPr>
              <w:t>a PUCCH</w:t>
            </w:r>
            <w:r w:rsidRPr="00EB2EEE">
              <w:rPr>
                <w:rFonts w:ascii="Times New Roman" w:eastAsia="Times New Roman" w:hAnsi="Times New Roman"/>
                <w:color w:val="FF0000"/>
                <w:sz w:val="20"/>
                <w:lang w:eastAsia="ja-JP"/>
              </w:rPr>
              <w:t>/PUSCH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EE" w:rsidRPr="00EB2EEE" w:rsidRDefault="00EB2EEE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eastAsia="Times New Roman" w:hAnsi="Times New Roman"/>
                <w:sz w:val="20"/>
                <w:lang w:eastAsia="ja-JP"/>
              </w:rPr>
              <w:t>1. Support multiplexing a high-priority HARQ-ACK and a low-priority HARQ-ACK into a PUCCH. Support separate coding for the two HARQ-ACKs.</w:t>
            </w:r>
          </w:p>
          <w:p w:rsidR="00EB2EEE" w:rsidRPr="00EB2EEE" w:rsidRDefault="00EB2EEE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eastAsia="Times New Roman" w:hAnsi="Times New Roman"/>
                <w:sz w:val="20"/>
                <w:lang w:eastAsia="ja-JP"/>
              </w:rPr>
              <w:t>2. [Support multiplexing a low-priority HARQ-ACK and a high-priority SR into a PUCCH for some HARQ-ACK/SR PF combinations (FFS applicable combinations).]</w:t>
            </w:r>
          </w:p>
          <w:p w:rsidR="00EB2EEE" w:rsidRPr="00EB2EEE" w:rsidRDefault="00EB2EEE" w:rsidP="00C62EE3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2EEE">
              <w:rPr>
                <w:rFonts w:ascii="Times New Roman" w:eastAsia="Times New Roman" w:hAnsi="Times New Roman" w:cs="Times New Roman"/>
                <w:sz w:val="20"/>
                <w:szCs w:val="20"/>
              </w:rPr>
              <w:t>3. [Support multiplexing a low-priority HARQ-ACK, a high-priority HARQ-ACK and a high-priority SR into a PUCCH.]</w:t>
            </w:r>
          </w:p>
          <w:p w:rsidR="00EB2EEE" w:rsidRPr="00EB2EEE" w:rsidRDefault="00EB2EEE" w:rsidP="00C62EE3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2EE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4. Support multiplexing a low-priority HARQ-ACK in a high-priority PUSCH (conveying UL-SCH only). Support separate beta_offset values for this priority combination.</w:t>
            </w:r>
          </w:p>
          <w:p w:rsidR="00EB2EEE" w:rsidRPr="00EB2EEE" w:rsidRDefault="00EB2EEE" w:rsidP="00C62EE3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2EE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5. Support multiplexing a high-priority HARQ-ACK in a low-priority PUSCH (conveying UL-SCH only). Support separate beta_offset values for this priority combination.</w:t>
            </w:r>
          </w:p>
          <w:p w:rsidR="00EB2EEE" w:rsidRPr="00EB2EEE" w:rsidRDefault="00EB2EEE" w:rsidP="00C62EE3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2EE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6. Support multiplexing a low-priority HARQ-ACK, a high-priority PUSCH conveying UL-SCH, a high-priority HARQ-ACK and/or CSI.</w:t>
            </w:r>
          </w:p>
          <w:p w:rsidR="00EB2EEE" w:rsidRPr="00EB2EEE" w:rsidRDefault="00EB2EEE" w:rsidP="00C62EE3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2EE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7. Support multiplexing a high-priority HARQ-ACK, a low-priority PUSCH conveying UL-SCH, a low-priority HARQ-ACK and/or CSI.</w:t>
            </w:r>
          </w:p>
          <w:p w:rsidR="00EB2EEE" w:rsidRPr="00EB2EEE" w:rsidRDefault="00EB2EEE" w:rsidP="00C62EE3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</w:pPr>
            <w:r w:rsidRPr="00EB2EEE"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</w:rPr>
              <w:t>FFS whether to merge with FG 25-17</w:t>
            </w:r>
          </w:p>
          <w:p w:rsidR="00EB2EEE" w:rsidRPr="00EB2EEE" w:rsidRDefault="00EB2EEE" w:rsidP="00C62EE3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2EE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FFS whether to separate capability for different UCI type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EB2EEE">
              <w:rPr>
                <w:rFonts w:ascii="Times New Roman" w:hAnsi="Times New Roman"/>
                <w:sz w:val="20"/>
              </w:rPr>
              <w:t>11-3</w:t>
            </w:r>
            <w:r w:rsidRPr="00EB2EEE">
              <w:rPr>
                <w:rFonts w:ascii="Times New Roman" w:hAnsi="Times New Roman"/>
                <w:color w:val="FF0000"/>
                <w:sz w:val="20"/>
              </w:rPr>
              <w:t>, 12-1</w:t>
            </w:r>
          </w:p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EB2EEE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EE" w:rsidRPr="00EB2EEE" w:rsidRDefault="00EB2EEE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hAnsi="Times New Roman"/>
                <w:sz w:val="20"/>
                <w:lang w:eastAsia="ja-JP"/>
              </w:rPr>
              <w:t>Per UE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EB2EE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EB2EE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B2EE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EEE" w:rsidRPr="00EB2EEE" w:rsidRDefault="00EB2EEE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EB2EEE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</w:tbl>
    <w:p w:rsidR="00676541" w:rsidRDefault="00EB2EEE" w:rsidP="00FA415F">
      <w:pPr>
        <w:widowControl/>
        <w:spacing w:after="120"/>
        <w:rPr>
          <w:rFonts w:ascii="Times New Roman" w:eastAsia="MS PGothic" w:hAnsi="Times New Roman" w:cs="Times New Roman"/>
          <w:color w:val="000000" w:themeColor="text1"/>
          <w:sz w:val="20"/>
          <w:szCs w:val="20"/>
        </w:rPr>
      </w:pPr>
      <w:r w:rsidRPr="00EB2EEE">
        <w:rPr>
          <w:rFonts w:ascii="Times New Roman" w:eastAsia="MS PGothic" w:hAnsi="Times New Roman" w:cs="Times New Roman"/>
          <w:color w:val="000000" w:themeColor="text1"/>
          <w:sz w:val="20"/>
          <w:szCs w:val="20"/>
        </w:rPr>
        <w:t>Note that any contents highlighted in yellow mean FFS and to be discussed further.</w:t>
      </w:r>
    </w:p>
    <w:tbl>
      <w:tblPr>
        <w:tblStyle w:val="ad"/>
        <w:tblW w:w="9351" w:type="dxa"/>
        <w:tblLayout w:type="fixed"/>
        <w:tblLook w:val="04A0" w:firstRow="1" w:lastRow="0" w:firstColumn="1" w:lastColumn="0" w:noHBand="0" w:noVBand="1"/>
      </w:tblPr>
      <w:tblGrid>
        <w:gridCol w:w="761"/>
        <w:gridCol w:w="8590"/>
      </w:tblGrid>
      <w:tr w:rsidR="00EB2EEE" w:rsidTr="00C62EE3">
        <w:tc>
          <w:tcPr>
            <w:tcW w:w="761" w:type="dxa"/>
            <w:shd w:val="clear" w:color="auto" w:fill="auto"/>
            <w:vAlign w:val="center"/>
          </w:tcPr>
          <w:p w:rsidR="00EB2EEE" w:rsidRPr="00512394" w:rsidRDefault="00EB2EEE" w:rsidP="00C62EE3">
            <w:pPr>
              <w:rPr>
                <w:rFonts w:eastAsia="Malgun Gothic"/>
                <w:b/>
                <w:lang w:eastAsia="ko-KR"/>
              </w:rPr>
            </w:pPr>
            <w:r w:rsidRPr="007F204F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590" w:type="dxa"/>
            <w:shd w:val="clear" w:color="auto" w:fill="auto"/>
            <w:vAlign w:val="center"/>
          </w:tcPr>
          <w:p w:rsidR="00EB2EEE" w:rsidRDefault="00704772" w:rsidP="00704772">
            <w:pPr>
              <w:rPr>
                <w:rFonts w:eastAsia="Malgun Gothic"/>
                <w:bCs/>
                <w:lang w:val="en-GB" w:eastAsia="ko-KR"/>
              </w:rPr>
            </w:pPr>
            <w:r w:rsidRPr="00704772">
              <w:rPr>
                <w:rFonts w:eastAsia="Malgun Gothic" w:hint="eastAsia"/>
                <w:lang w:eastAsia="ko-KR"/>
              </w:rPr>
              <w:t xml:space="preserve">Based on </w:t>
            </w:r>
            <w:r w:rsidRPr="00704772">
              <w:rPr>
                <w:rFonts w:eastAsia="Malgun Gothic"/>
                <w:lang w:eastAsia="ko-KR"/>
              </w:rPr>
              <w:t xml:space="preserve">the following guideline </w:t>
            </w:r>
            <w:r w:rsidRPr="00704772">
              <w:rPr>
                <w:rFonts w:eastAsia="Malgun Gothic"/>
                <w:bCs/>
                <w:lang w:val="en-GB" w:eastAsia="ko-KR"/>
              </w:rPr>
              <w:t xml:space="preserve">for Rel-17 intra-UE multiplexing framework in RAN#94-e, Capabilility#1 only will be handled in Q1 2022 and there is no more time to address other capability (capability#3). </w:t>
            </w:r>
            <w:r>
              <w:rPr>
                <w:rFonts w:eastAsia="Malgun Gothic"/>
                <w:bCs/>
                <w:lang w:val="en-GB" w:eastAsia="ko-KR"/>
              </w:rPr>
              <w:t xml:space="preserve"> </w:t>
            </w:r>
            <w:r w:rsidRPr="00704772">
              <w:rPr>
                <w:rFonts w:eastAsia="Malgun Gothic"/>
                <w:bCs/>
                <w:lang w:val="en-GB" w:eastAsia="ko-KR"/>
              </w:rPr>
              <w:t xml:space="preserve">In this case, one FG is enough for </w:t>
            </w:r>
            <w:r w:rsidRPr="00704772">
              <w:rPr>
                <w:rFonts w:eastAsia="Times New Roman"/>
                <w:color w:val="000000" w:themeColor="text1"/>
                <w:lang w:eastAsia="ja-JP"/>
              </w:rPr>
              <w:t>HARQ-ACK with different priorities multiplexing on a PUCCH/PUSCH</w:t>
            </w:r>
            <w:r w:rsidRPr="00704772">
              <w:rPr>
                <w:rFonts w:eastAsia="Malgun Gothic"/>
                <w:bCs/>
                <w:color w:val="000000" w:themeColor="text1"/>
                <w:lang w:val="en-GB" w:eastAsia="ko-KR"/>
              </w:rPr>
              <w:t xml:space="preserve"> </w:t>
            </w:r>
            <w:r w:rsidRPr="00704772">
              <w:rPr>
                <w:rFonts w:eastAsia="Malgun Gothic"/>
                <w:bCs/>
                <w:lang w:val="en-GB" w:eastAsia="ko-KR"/>
              </w:rPr>
              <w:t xml:space="preserve">we suggest removing </w:t>
            </w:r>
            <w:r>
              <w:rPr>
                <w:rFonts w:eastAsia="Malgun Gothic"/>
                <w:bCs/>
                <w:lang w:val="en-GB" w:eastAsia="ko-KR"/>
              </w:rPr>
              <w:t>FFS sentence in FG 25-16.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364"/>
            </w:tblGrid>
            <w:tr w:rsidR="00704772" w:rsidTr="00704772">
              <w:tc>
                <w:tcPr>
                  <w:tcW w:w="8364" w:type="dxa"/>
                </w:tcPr>
                <w:p w:rsidR="00704772" w:rsidRPr="00704772" w:rsidRDefault="00BF32E1" w:rsidP="00704772">
                  <w:pPr>
                    <w:rPr>
                      <w:rFonts w:eastAsia="Malgun Gothic"/>
                      <w:lang w:eastAsia="ko-KR"/>
                    </w:rPr>
                  </w:pPr>
                  <w:r w:rsidRPr="00002F51">
                    <w:rPr>
                      <w:rFonts w:eastAsia="Malgun Gothic"/>
                      <w:bCs/>
                      <w:lang w:val="en-GB" w:eastAsia="ko-KR"/>
                    </w:rPr>
                    <w:t>"RAN to guide RAN1 to focus on the discussions on Capabilility#1 only in Q1 2022 for Rel-17 intra-UE multiplexing framework"</w:t>
                  </w:r>
                </w:p>
              </w:tc>
            </w:tr>
          </w:tbl>
          <w:p w:rsidR="00704772" w:rsidRPr="00704772" w:rsidRDefault="00704772" w:rsidP="00704772">
            <w:pPr>
              <w:rPr>
                <w:rFonts w:eastAsia="Malgun Gothic"/>
                <w:lang w:eastAsia="ko-KR"/>
              </w:rPr>
            </w:pPr>
          </w:p>
        </w:tc>
      </w:tr>
    </w:tbl>
    <w:p w:rsidR="00002F51" w:rsidRDefault="00002F51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</w:p>
    <w:p w:rsidR="00002F51" w:rsidRPr="00002F51" w:rsidRDefault="00002F51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002F51">
        <w:rPr>
          <w:rFonts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 w:rsidR="00002F51" w:rsidRPr="00002F51" w:rsidRDefault="00002F51" w:rsidP="00002F51">
      <w:pPr>
        <w:pStyle w:val="a6"/>
        <w:widowControl/>
        <w:numPr>
          <w:ilvl w:val="0"/>
          <w:numId w:val="47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02F51">
        <w:rPr>
          <w:rFonts w:ascii="Times New Roman" w:hAnsi="Times New Roman" w:cs="Times New Roman"/>
          <w:sz w:val="20"/>
          <w:szCs w:val="20"/>
        </w:rPr>
        <w:lastRenderedPageBreak/>
        <w:t>For propagation delay compensation, following FGs are added as follows</w:t>
      </w:r>
    </w:p>
    <w:p w:rsidR="00002F51" w:rsidRPr="00002F51" w:rsidRDefault="00002F51" w:rsidP="00002F51">
      <w:pPr>
        <w:pStyle w:val="a6"/>
        <w:widowControl/>
        <w:numPr>
          <w:ilvl w:val="1"/>
          <w:numId w:val="47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02F51">
        <w:rPr>
          <w:rFonts w:ascii="Times New Roman" w:hAnsi="Times New Roman" w:cs="Times New Roman"/>
          <w:sz w:val="20"/>
          <w:szCs w:val="20"/>
        </w:rPr>
        <w:t>FG 25-19: Propagation delay compensation based on CSI-RS for tracking and SRS</w:t>
      </w:r>
    </w:p>
    <w:p w:rsidR="00002F51" w:rsidRPr="00002F51" w:rsidRDefault="00002F51" w:rsidP="00002F51">
      <w:pPr>
        <w:pStyle w:val="a6"/>
        <w:widowControl/>
        <w:numPr>
          <w:ilvl w:val="1"/>
          <w:numId w:val="47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02F51">
        <w:rPr>
          <w:rFonts w:ascii="Times New Roman" w:hAnsi="Times New Roman" w:cs="Times New Roman"/>
          <w:sz w:val="20"/>
          <w:szCs w:val="20"/>
        </w:rPr>
        <w:t>FG 25-19a: Propagation delay compensation based on DL PRS and SRS</w:t>
      </w:r>
    </w:p>
    <w:p w:rsidR="00002F51" w:rsidRPr="00002F51" w:rsidRDefault="00002F51" w:rsidP="00002F51">
      <w:pPr>
        <w:pStyle w:val="a6"/>
        <w:widowControl/>
        <w:numPr>
          <w:ilvl w:val="1"/>
          <w:numId w:val="47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02F51">
        <w:rPr>
          <w:rFonts w:ascii="Times New Roman" w:hAnsi="Times New Roman" w:cs="Times New Roman"/>
          <w:sz w:val="20"/>
          <w:szCs w:val="20"/>
        </w:rPr>
        <w:t>FG 25-20: Propagation delay compensation based on legacy TA procedure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67"/>
        <w:gridCol w:w="993"/>
        <w:gridCol w:w="1274"/>
        <w:gridCol w:w="710"/>
        <w:gridCol w:w="323"/>
        <w:gridCol w:w="466"/>
        <w:gridCol w:w="236"/>
        <w:gridCol w:w="250"/>
        <w:gridCol w:w="426"/>
        <w:gridCol w:w="446"/>
        <w:gridCol w:w="466"/>
        <w:gridCol w:w="971"/>
        <w:gridCol w:w="803"/>
      </w:tblGrid>
      <w:tr w:rsidR="00002F51" w:rsidRPr="00002F51" w:rsidTr="00002F51">
        <w:trPr>
          <w:trHeight w:val="20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002F51">
              <w:rPr>
                <w:rFonts w:ascii="Times New Roman" w:hAnsi="Times New Roman"/>
                <w:sz w:val="20"/>
              </w:rPr>
              <w:t xml:space="preserve"> </w:t>
            </w:r>
            <w:r w:rsidRPr="00002F51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25-19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sz w:val="20"/>
                <w:lang w:eastAsia="ja-JP"/>
              </w:rPr>
              <w:t>RTT-based Propagation delay compensation based on CSI-RS for tracking and SRS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sz w:val="20"/>
                <w:lang w:eastAsia="ja-JP"/>
              </w:rPr>
              <w:t>Support RTT-based Propagation delay compensation for time synchronization of the Uu interface based on CSI-RS for tracking and SRS</w:t>
            </w:r>
          </w:p>
          <w:p w:rsidR="00002F51" w:rsidRPr="00002F51" w:rsidRDefault="00002F51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color w:val="FF0000"/>
                <w:sz w:val="20"/>
                <w:highlight w:val="yellow"/>
                <w:lang w:eastAsia="ja-JP"/>
              </w:rPr>
              <w:t>FFS whether to merge FG 25-19 and FG 25-19a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02F51">
              <w:rPr>
                <w:rFonts w:ascii="Times New Roman" w:hAnsi="Times New Roman"/>
                <w:sz w:val="20"/>
                <w:lang w:eastAsia="zh-CN"/>
              </w:rPr>
              <w:t>2-51, 2-53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002F51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FS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002F51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  <w:tr w:rsidR="00002F51" w:rsidRPr="00002F51" w:rsidTr="00002F51">
        <w:trPr>
          <w:trHeight w:val="20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002F51">
              <w:rPr>
                <w:rFonts w:ascii="Times New Roman" w:hAnsi="Times New Roman"/>
                <w:sz w:val="20"/>
              </w:rPr>
              <w:t xml:space="preserve"> </w:t>
            </w:r>
            <w:r w:rsidRPr="00002F51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25-19a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sz w:val="20"/>
                <w:lang w:eastAsia="ja-JP"/>
              </w:rPr>
              <w:t xml:space="preserve">RTT-based Propagation delay compensation based on DL PRS and SRS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sz w:val="20"/>
                <w:lang w:eastAsia="ja-JP"/>
              </w:rPr>
              <w:t>Support RTT-based Propagation delay compensation for time synchronization of the Uu interface based on DL PRS and SRS</w:t>
            </w:r>
          </w:p>
          <w:p w:rsidR="00002F51" w:rsidRPr="00002F51" w:rsidRDefault="00002F51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color w:val="FF0000"/>
                <w:sz w:val="20"/>
                <w:highlight w:val="yellow"/>
                <w:lang w:eastAsia="ja-JP"/>
              </w:rPr>
              <w:t>FFS whether to merge FG 25-19 and FG 25-19a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02F51">
              <w:rPr>
                <w:rFonts w:ascii="Times New Roman" w:hAnsi="Times New Roman"/>
                <w:sz w:val="20"/>
                <w:lang w:eastAsia="zh-CN"/>
              </w:rPr>
              <w:t>25-19, 13-1, 2-53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002F51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FS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02F51">
              <w:rPr>
                <w:rFonts w:ascii="Times New Roman" w:hAnsi="Times New Roman"/>
                <w:sz w:val="20"/>
                <w:lang w:eastAsia="zh-CN"/>
              </w:rPr>
              <w:t xml:space="preserve">Note: FG 13-1 is now only reported to LMF. If UE reports the support of this FG, it needs to report FG 13-1 to gNB also.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002F51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  <w:tr w:rsidR="00002F51" w:rsidRPr="00002F51" w:rsidTr="00002F51">
        <w:trPr>
          <w:trHeight w:val="20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25. NR_IIOT_URLLC_enh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25-20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sz w:val="20"/>
                <w:lang w:eastAsia="ja-JP"/>
              </w:rPr>
              <w:t xml:space="preserve">Propagation delay compensation based on legacy TA procedure 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eastAsia="Times New Roman" w:hAnsi="Times New Roman"/>
                <w:sz w:val="20"/>
                <w:lang w:eastAsia="ja-JP"/>
              </w:rPr>
              <w:t xml:space="preserve">Support propagation delay compensation based on legacy TA procedure  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002F51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Per UE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no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no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002F51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51" w:rsidRPr="00002F51" w:rsidRDefault="00002F51" w:rsidP="00C62EE3">
            <w:pPr>
              <w:pStyle w:val="TAL"/>
              <w:rPr>
                <w:rFonts w:ascii="Times New Roman" w:hAnsi="Times New Roman"/>
                <w:sz w:val="20"/>
              </w:rPr>
            </w:pPr>
            <w:r w:rsidRPr="00002F51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</w:tbl>
    <w:p w:rsidR="00EB2EEE" w:rsidRDefault="00002F51" w:rsidP="00FA415F">
      <w:pPr>
        <w:widowControl/>
        <w:spacing w:after="120"/>
        <w:rPr>
          <w:rFonts w:ascii="Times New Roman" w:eastAsia="MS PGothic" w:hAnsi="Times New Roman" w:cs="Times New Roman"/>
          <w:color w:val="000000" w:themeColor="text1"/>
          <w:sz w:val="20"/>
          <w:szCs w:val="20"/>
        </w:rPr>
      </w:pPr>
      <w:r w:rsidRPr="00002F51">
        <w:rPr>
          <w:rFonts w:ascii="Times New Roman" w:eastAsia="MS PGothic" w:hAnsi="Times New Roman" w:cs="Times New Roman"/>
          <w:color w:val="000000" w:themeColor="text1"/>
          <w:sz w:val="20"/>
          <w:szCs w:val="20"/>
        </w:rPr>
        <w:t>Note that any contents highlighted in yellow mean FFS and to be discussed further.</w:t>
      </w:r>
    </w:p>
    <w:tbl>
      <w:tblPr>
        <w:tblStyle w:val="ad"/>
        <w:tblW w:w="9351" w:type="dxa"/>
        <w:tblLayout w:type="fixed"/>
        <w:tblLook w:val="04A0" w:firstRow="1" w:lastRow="0" w:firstColumn="1" w:lastColumn="0" w:noHBand="0" w:noVBand="1"/>
      </w:tblPr>
      <w:tblGrid>
        <w:gridCol w:w="761"/>
        <w:gridCol w:w="8590"/>
      </w:tblGrid>
      <w:tr w:rsidR="00002F51" w:rsidTr="00C62EE3">
        <w:tc>
          <w:tcPr>
            <w:tcW w:w="761" w:type="dxa"/>
            <w:shd w:val="clear" w:color="auto" w:fill="auto"/>
            <w:vAlign w:val="center"/>
          </w:tcPr>
          <w:p w:rsidR="00002F51" w:rsidRPr="00512394" w:rsidRDefault="00002F51" w:rsidP="00C62EE3">
            <w:pPr>
              <w:rPr>
                <w:rFonts w:eastAsia="Malgun Gothic"/>
                <w:b/>
                <w:lang w:eastAsia="ko-KR"/>
              </w:rPr>
            </w:pPr>
            <w:r w:rsidRPr="007F204F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590" w:type="dxa"/>
            <w:shd w:val="clear" w:color="auto" w:fill="auto"/>
            <w:vAlign w:val="center"/>
          </w:tcPr>
          <w:p w:rsidR="00002F51" w:rsidRDefault="00002F51" w:rsidP="00002F51">
            <w:pPr>
              <w:rPr>
                <w:rFonts w:eastAsia="Times New Roman"/>
                <w:color w:val="000000" w:themeColor="text1"/>
                <w:lang w:eastAsia="ja-JP"/>
              </w:rPr>
            </w:pPr>
            <w:r>
              <w:rPr>
                <w:rFonts w:eastAsia="Malgun Gothic" w:hint="eastAsia"/>
                <w:lang w:eastAsia="ko-KR"/>
              </w:rPr>
              <w:t xml:space="preserve">Because </w:t>
            </w:r>
            <w:r>
              <w:rPr>
                <w:rFonts w:eastAsia="Malgun Gothic"/>
                <w:lang w:eastAsia="ko-KR"/>
              </w:rPr>
              <w:t xml:space="preserve">CSI-RS and PRS signal can be independently configured and correspond to different UE capability, it is better to keep separated </w:t>
            </w:r>
            <w:r w:rsidRPr="00002F51">
              <w:rPr>
                <w:rFonts w:eastAsia="Times New Roman"/>
                <w:color w:val="000000" w:themeColor="text1"/>
                <w:lang w:eastAsia="ja-JP"/>
              </w:rPr>
              <w:t>FG 25-19 and FG 25-19a</w:t>
            </w:r>
            <w:r>
              <w:rPr>
                <w:rFonts w:eastAsia="Times New Roman"/>
                <w:color w:val="000000" w:themeColor="text1"/>
                <w:lang w:eastAsia="ja-JP"/>
              </w:rPr>
              <w:t xml:space="preserve">. So we suggest removing FFS sentence in </w:t>
            </w:r>
            <w:r w:rsidRPr="00002F51">
              <w:rPr>
                <w:rFonts w:eastAsia="Times New Roman"/>
                <w:color w:val="000000" w:themeColor="text1"/>
                <w:lang w:eastAsia="ja-JP"/>
              </w:rPr>
              <w:t>FG 25-19 and FG 25-19a</w:t>
            </w:r>
            <w:r>
              <w:rPr>
                <w:rFonts w:eastAsia="Times New Roman"/>
                <w:color w:val="000000" w:themeColor="text1"/>
                <w:lang w:eastAsia="ja-JP"/>
              </w:rPr>
              <w:t xml:space="preserve"> as follows:</w:t>
            </w:r>
          </w:p>
          <w:p w:rsidR="00002F51" w:rsidRPr="00002F51" w:rsidRDefault="00002F51" w:rsidP="00002F51">
            <w:pPr>
              <w:rPr>
                <w:rFonts w:eastAsia="Malgun Gothic"/>
                <w:strike/>
                <w:lang w:eastAsia="ko-KR"/>
              </w:rPr>
            </w:pPr>
            <w:r w:rsidRPr="00002F51">
              <w:rPr>
                <w:rFonts w:eastAsia="Times New Roman"/>
                <w:strike/>
                <w:color w:val="FF0000"/>
                <w:highlight w:val="yellow"/>
                <w:lang w:eastAsia="ja-JP"/>
              </w:rPr>
              <w:t>FFS whether to merge FG 25-19 and FG 25-19a</w:t>
            </w:r>
          </w:p>
        </w:tc>
      </w:tr>
    </w:tbl>
    <w:p w:rsidR="00002F51" w:rsidRPr="00002F51" w:rsidRDefault="00002F51" w:rsidP="00FA415F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lastRenderedPageBreak/>
        <w:t>Conclusion</w:t>
      </w:r>
    </w:p>
    <w:p w:rsidR="000A1C5A" w:rsidRPr="00F10651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DF4EC5" w:rsidRP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UE features list for Rel-17 URLLC/IIoT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proposal</w:t>
      </w:r>
      <w:r w:rsid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DF4EC5" w:rsidRPr="00DF4EC5">
        <w:t xml:space="preserve"> </w:t>
      </w:r>
      <w:r w:rsidR="00DF4EC5" w:rsidRP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above table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B3CEF" w:rsidRPr="00BB3CEF" w:rsidRDefault="00DF4EC5" w:rsidP="00DF4EC5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F4EC5">
        <w:rPr>
          <w:rFonts w:ascii="Times New Roman" w:eastAsia="宋体" w:hAnsi="Times New Roman" w:cs="Times New Roman"/>
          <w:noProof/>
          <w:sz w:val="20"/>
          <w:szCs w:val="20"/>
        </w:rPr>
        <w:t>R1-21</w:t>
      </w:r>
      <w:r>
        <w:rPr>
          <w:rFonts w:ascii="Times New Roman" w:eastAsia="宋体" w:hAnsi="Times New Roman" w:cs="Times New Roman"/>
          <w:noProof/>
          <w:sz w:val="20"/>
          <w:szCs w:val="20"/>
        </w:rPr>
        <w:t>12135</w:t>
      </w:r>
      <w:r w:rsidRPr="00DF4EC5">
        <w:rPr>
          <w:rFonts w:ascii="Times New Roman" w:eastAsia="宋体" w:hAnsi="Times New Roman" w:cs="Times New Roman"/>
          <w:noProof/>
          <w:sz w:val="20"/>
          <w:szCs w:val="20"/>
        </w:rPr>
        <w:t>, Summary on UE features for enhanced IIoT and URLLC</w:t>
      </w:r>
    </w:p>
    <w:sectPr w:rsidR="00BB3CEF" w:rsidRPr="00BB3CEF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50F" w:rsidRDefault="000F350F" w:rsidP="00A578C0">
      <w:r>
        <w:separator/>
      </w:r>
    </w:p>
  </w:endnote>
  <w:endnote w:type="continuationSeparator" w:id="0">
    <w:p w:rsidR="000F350F" w:rsidRDefault="000F350F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50F" w:rsidRDefault="000F350F" w:rsidP="00A578C0">
      <w:r>
        <w:separator/>
      </w:r>
    </w:p>
  </w:footnote>
  <w:footnote w:type="continuationSeparator" w:id="0">
    <w:p w:rsidR="000F350F" w:rsidRDefault="000F350F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0E3F4F"/>
    <w:multiLevelType w:val="hybridMultilevel"/>
    <w:tmpl w:val="EC725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6" w15:restartNumberingAfterBreak="0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449E5"/>
    <w:multiLevelType w:val="hybridMultilevel"/>
    <w:tmpl w:val="228C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02317"/>
    <w:multiLevelType w:val="hybridMultilevel"/>
    <w:tmpl w:val="D2606920"/>
    <w:lvl w:ilvl="0" w:tplc="568829A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64D36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78045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667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A0043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C8A6D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5CC71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63A6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E049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E80FC0"/>
    <w:multiLevelType w:val="hybridMultilevel"/>
    <w:tmpl w:val="EB3CF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D74394F"/>
    <w:multiLevelType w:val="hybridMultilevel"/>
    <w:tmpl w:val="3872CEC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42"/>
  </w:num>
  <w:num w:numId="5">
    <w:abstractNumId w:val="8"/>
  </w:num>
  <w:num w:numId="6">
    <w:abstractNumId w:val="12"/>
  </w:num>
  <w:num w:numId="7">
    <w:abstractNumId w:val="6"/>
  </w:num>
  <w:num w:numId="8">
    <w:abstractNumId w:val="34"/>
  </w:num>
  <w:num w:numId="9">
    <w:abstractNumId w:val="24"/>
  </w:num>
  <w:num w:numId="10">
    <w:abstractNumId w:val="45"/>
  </w:num>
  <w:num w:numId="11">
    <w:abstractNumId w:val="43"/>
  </w:num>
  <w:num w:numId="12">
    <w:abstractNumId w:val="32"/>
  </w:num>
  <w:num w:numId="13">
    <w:abstractNumId w:val="17"/>
  </w:num>
  <w:num w:numId="14">
    <w:abstractNumId w:val="35"/>
  </w:num>
  <w:num w:numId="15">
    <w:abstractNumId w:val="41"/>
  </w:num>
  <w:num w:numId="16">
    <w:abstractNumId w:val="41"/>
  </w:num>
  <w:num w:numId="17">
    <w:abstractNumId w:val="18"/>
  </w:num>
  <w:num w:numId="18">
    <w:abstractNumId w:val="22"/>
  </w:num>
  <w:num w:numId="19">
    <w:abstractNumId w:val="36"/>
  </w:num>
  <w:num w:numId="20">
    <w:abstractNumId w:val="4"/>
  </w:num>
  <w:num w:numId="21">
    <w:abstractNumId w:val="30"/>
  </w:num>
  <w:num w:numId="22">
    <w:abstractNumId w:val="19"/>
  </w:num>
  <w:num w:numId="23">
    <w:abstractNumId w:val="44"/>
  </w:num>
  <w:num w:numId="24">
    <w:abstractNumId w:val="11"/>
  </w:num>
  <w:num w:numId="25">
    <w:abstractNumId w:val="29"/>
  </w:num>
  <w:num w:numId="26">
    <w:abstractNumId w:val="39"/>
  </w:num>
  <w:num w:numId="27">
    <w:abstractNumId w:val="5"/>
  </w:num>
  <w:num w:numId="28">
    <w:abstractNumId w:val="9"/>
  </w:num>
  <w:num w:numId="29">
    <w:abstractNumId w:val="38"/>
  </w:num>
  <w:num w:numId="30">
    <w:abstractNumId w:val="46"/>
  </w:num>
  <w:num w:numId="31">
    <w:abstractNumId w:val="38"/>
  </w:num>
  <w:num w:numId="32">
    <w:abstractNumId w:val="31"/>
  </w:num>
  <w:num w:numId="33">
    <w:abstractNumId w:val="0"/>
  </w:num>
  <w:num w:numId="34">
    <w:abstractNumId w:val="28"/>
  </w:num>
  <w:num w:numId="35">
    <w:abstractNumId w:val="37"/>
  </w:num>
  <w:num w:numId="36">
    <w:abstractNumId w:val="2"/>
  </w:num>
  <w:num w:numId="37">
    <w:abstractNumId w:val="7"/>
  </w:num>
  <w:num w:numId="38">
    <w:abstractNumId w:val="13"/>
  </w:num>
  <w:num w:numId="39">
    <w:abstractNumId w:val="25"/>
  </w:num>
  <w:num w:numId="40">
    <w:abstractNumId w:val="14"/>
  </w:num>
  <w:num w:numId="41">
    <w:abstractNumId w:val="21"/>
  </w:num>
  <w:num w:numId="42">
    <w:abstractNumId w:val="26"/>
  </w:num>
  <w:num w:numId="43">
    <w:abstractNumId w:val="10"/>
  </w:num>
  <w:num w:numId="44">
    <w:abstractNumId w:val="27"/>
  </w:num>
  <w:num w:numId="45">
    <w:abstractNumId w:val="33"/>
  </w:num>
  <w:num w:numId="46">
    <w:abstractNumId w:val="3"/>
  </w:num>
  <w:num w:numId="47">
    <w:abstractNumId w:val="40"/>
  </w:num>
  <w:num w:numId="48">
    <w:abstractNumId w:val="23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1"/>
    <w:rsid w:val="00002F53"/>
    <w:rsid w:val="00003437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7040"/>
    <w:rsid w:val="000855E6"/>
    <w:rsid w:val="000A1C5A"/>
    <w:rsid w:val="000A253A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350F"/>
    <w:rsid w:val="000F55B2"/>
    <w:rsid w:val="000F62FE"/>
    <w:rsid w:val="000F7827"/>
    <w:rsid w:val="00102FD7"/>
    <w:rsid w:val="00104183"/>
    <w:rsid w:val="0010576F"/>
    <w:rsid w:val="00105878"/>
    <w:rsid w:val="00107CA0"/>
    <w:rsid w:val="00120AD5"/>
    <w:rsid w:val="001314B7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4058"/>
    <w:rsid w:val="001707CD"/>
    <w:rsid w:val="00173760"/>
    <w:rsid w:val="001738C4"/>
    <w:rsid w:val="001773ED"/>
    <w:rsid w:val="00192DCD"/>
    <w:rsid w:val="00193172"/>
    <w:rsid w:val="001A5C5A"/>
    <w:rsid w:val="001A6A0A"/>
    <w:rsid w:val="001A6A3D"/>
    <w:rsid w:val="001B3F67"/>
    <w:rsid w:val="001B5300"/>
    <w:rsid w:val="001C54ED"/>
    <w:rsid w:val="001C7237"/>
    <w:rsid w:val="001D1E03"/>
    <w:rsid w:val="001E2AC0"/>
    <w:rsid w:val="001E4D8D"/>
    <w:rsid w:val="001F42A7"/>
    <w:rsid w:val="001F54A5"/>
    <w:rsid w:val="001F7BB4"/>
    <w:rsid w:val="0020383B"/>
    <w:rsid w:val="002069DC"/>
    <w:rsid w:val="00206ED8"/>
    <w:rsid w:val="00207649"/>
    <w:rsid w:val="002113BD"/>
    <w:rsid w:val="00215C94"/>
    <w:rsid w:val="0022153E"/>
    <w:rsid w:val="002224FF"/>
    <w:rsid w:val="00224DBF"/>
    <w:rsid w:val="002254FB"/>
    <w:rsid w:val="00225A64"/>
    <w:rsid w:val="002305BB"/>
    <w:rsid w:val="002344D7"/>
    <w:rsid w:val="0024169A"/>
    <w:rsid w:val="00245AD4"/>
    <w:rsid w:val="0024744C"/>
    <w:rsid w:val="002531E8"/>
    <w:rsid w:val="00262CE9"/>
    <w:rsid w:val="00265D57"/>
    <w:rsid w:val="00270FD3"/>
    <w:rsid w:val="00283A65"/>
    <w:rsid w:val="00286A83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8F5"/>
    <w:rsid w:val="002D5079"/>
    <w:rsid w:val="002E08D1"/>
    <w:rsid w:val="002F0A21"/>
    <w:rsid w:val="002F7346"/>
    <w:rsid w:val="003018B7"/>
    <w:rsid w:val="00307FB0"/>
    <w:rsid w:val="00310B68"/>
    <w:rsid w:val="00316F69"/>
    <w:rsid w:val="00321210"/>
    <w:rsid w:val="003214F4"/>
    <w:rsid w:val="00321B0B"/>
    <w:rsid w:val="003224A7"/>
    <w:rsid w:val="00340FD3"/>
    <w:rsid w:val="00343302"/>
    <w:rsid w:val="003454E3"/>
    <w:rsid w:val="003525D2"/>
    <w:rsid w:val="00352A44"/>
    <w:rsid w:val="00357E2C"/>
    <w:rsid w:val="00362F05"/>
    <w:rsid w:val="003635EF"/>
    <w:rsid w:val="00366B60"/>
    <w:rsid w:val="0036751F"/>
    <w:rsid w:val="003724C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33ED1"/>
    <w:rsid w:val="00443F5F"/>
    <w:rsid w:val="00444225"/>
    <w:rsid w:val="004500D2"/>
    <w:rsid w:val="00450A5D"/>
    <w:rsid w:val="00450B70"/>
    <w:rsid w:val="00465B71"/>
    <w:rsid w:val="00465FCC"/>
    <w:rsid w:val="00467FCA"/>
    <w:rsid w:val="00473E9E"/>
    <w:rsid w:val="004767FA"/>
    <w:rsid w:val="00476938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E57"/>
    <w:rsid w:val="00535B1A"/>
    <w:rsid w:val="00540BC0"/>
    <w:rsid w:val="00544FE4"/>
    <w:rsid w:val="00547461"/>
    <w:rsid w:val="00550557"/>
    <w:rsid w:val="00553D9B"/>
    <w:rsid w:val="005609C1"/>
    <w:rsid w:val="00562145"/>
    <w:rsid w:val="00565903"/>
    <w:rsid w:val="00566A5C"/>
    <w:rsid w:val="005769C1"/>
    <w:rsid w:val="00576FDA"/>
    <w:rsid w:val="005822E4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E507A"/>
    <w:rsid w:val="005E6D3C"/>
    <w:rsid w:val="005F779B"/>
    <w:rsid w:val="0061336B"/>
    <w:rsid w:val="0061441C"/>
    <w:rsid w:val="00616764"/>
    <w:rsid w:val="00620208"/>
    <w:rsid w:val="00623F49"/>
    <w:rsid w:val="0062456D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6A0A"/>
    <w:rsid w:val="00691CBB"/>
    <w:rsid w:val="00695CC2"/>
    <w:rsid w:val="00696B7D"/>
    <w:rsid w:val="006A6B89"/>
    <w:rsid w:val="006B086A"/>
    <w:rsid w:val="006B08A9"/>
    <w:rsid w:val="006B2596"/>
    <w:rsid w:val="006B6A62"/>
    <w:rsid w:val="006D3EF4"/>
    <w:rsid w:val="006D47CD"/>
    <w:rsid w:val="006D6DB4"/>
    <w:rsid w:val="006D70B2"/>
    <w:rsid w:val="006D7857"/>
    <w:rsid w:val="006E361A"/>
    <w:rsid w:val="006E780A"/>
    <w:rsid w:val="006F2B0A"/>
    <w:rsid w:val="006F6EA7"/>
    <w:rsid w:val="007019D8"/>
    <w:rsid w:val="00703778"/>
    <w:rsid w:val="007037EB"/>
    <w:rsid w:val="00703B1A"/>
    <w:rsid w:val="00704772"/>
    <w:rsid w:val="00705278"/>
    <w:rsid w:val="007103CF"/>
    <w:rsid w:val="00730DAC"/>
    <w:rsid w:val="007356DE"/>
    <w:rsid w:val="007360F3"/>
    <w:rsid w:val="00737F83"/>
    <w:rsid w:val="00741358"/>
    <w:rsid w:val="0074215F"/>
    <w:rsid w:val="0074631B"/>
    <w:rsid w:val="00750473"/>
    <w:rsid w:val="00753833"/>
    <w:rsid w:val="0075584C"/>
    <w:rsid w:val="00755AC8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22A1"/>
    <w:rsid w:val="007E7E28"/>
    <w:rsid w:val="007E7F51"/>
    <w:rsid w:val="007F204F"/>
    <w:rsid w:val="007F3436"/>
    <w:rsid w:val="007F35D2"/>
    <w:rsid w:val="007F64AB"/>
    <w:rsid w:val="007F7CAF"/>
    <w:rsid w:val="00800355"/>
    <w:rsid w:val="00802572"/>
    <w:rsid w:val="0080714B"/>
    <w:rsid w:val="00812625"/>
    <w:rsid w:val="00836346"/>
    <w:rsid w:val="00837909"/>
    <w:rsid w:val="008423E4"/>
    <w:rsid w:val="00843BFB"/>
    <w:rsid w:val="00843D5F"/>
    <w:rsid w:val="00850D43"/>
    <w:rsid w:val="00851459"/>
    <w:rsid w:val="00855F2C"/>
    <w:rsid w:val="00864061"/>
    <w:rsid w:val="008770C2"/>
    <w:rsid w:val="00877D6E"/>
    <w:rsid w:val="00883DCA"/>
    <w:rsid w:val="00884961"/>
    <w:rsid w:val="00885BC5"/>
    <w:rsid w:val="00893684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E2F85"/>
    <w:rsid w:val="008F06F1"/>
    <w:rsid w:val="008F258F"/>
    <w:rsid w:val="009032D9"/>
    <w:rsid w:val="00906E8A"/>
    <w:rsid w:val="00912323"/>
    <w:rsid w:val="00921728"/>
    <w:rsid w:val="009321B1"/>
    <w:rsid w:val="00941672"/>
    <w:rsid w:val="00947D8C"/>
    <w:rsid w:val="00952CE2"/>
    <w:rsid w:val="00960E45"/>
    <w:rsid w:val="009616CA"/>
    <w:rsid w:val="0096732A"/>
    <w:rsid w:val="00967708"/>
    <w:rsid w:val="00975EC0"/>
    <w:rsid w:val="009772B4"/>
    <w:rsid w:val="009776C9"/>
    <w:rsid w:val="009812D1"/>
    <w:rsid w:val="00981C91"/>
    <w:rsid w:val="00985AC0"/>
    <w:rsid w:val="00990ED9"/>
    <w:rsid w:val="009A0ABF"/>
    <w:rsid w:val="009A1175"/>
    <w:rsid w:val="009A3194"/>
    <w:rsid w:val="009B261C"/>
    <w:rsid w:val="009B62C0"/>
    <w:rsid w:val="009C3102"/>
    <w:rsid w:val="009D3AFD"/>
    <w:rsid w:val="009D46D5"/>
    <w:rsid w:val="009F1B9C"/>
    <w:rsid w:val="009F31BB"/>
    <w:rsid w:val="009F47F5"/>
    <w:rsid w:val="009F54C2"/>
    <w:rsid w:val="00A007D5"/>
    <w:rsid w:val="00A02FA9"/>
    <w:rsid w:val="00A0324A"/>
    <w:rsid w:val="00A0341C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408CF"/>
    <w:rsid w:val="00A44298"/>
    <w:rsid w:val="00A450CD"/>
    <w:rsid w:val="00A50CE9"/>
    <w:rsid w:val="00A51147"/>
    <w:rsid w:val="00A5188B"/>
    <w:rsid w:val="00A53BF7"/>
    <w:rsid w:val="00A578C0"/>
    <w:rsid w:val="00A62586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3D40"/>
    <w:rsid w:val="00AD7D8E"/>
    <w:rsid w:val="00AE21C2"/>
    <w:rsid w:val="00AE4543"/>
    <w:rsid w:val="00AF15F7"/>
    <w:rsid w:val="00AF7B30"/>
    <w:rsid w:val="00B07614"/>
    <w:rsid w:val="00B146A4"/>
    <w:rsid w:val="00B152E2"/>
    <w:rsid w:val="00B375FC"/>
    <w:rsid w:val="00B53DC0"/>
    <w:rsid w:val="00B608D2"/>
    <w:rsid w:val="00B6162D"/>
    <w:rsid w:val="00B6664C"/>
    <w:rsid w:val="00B66E0F"/>
    <w:rsid w:val="00B70C65"/>
    <w:rsid w:val="00B7145D"/>
    <w:rsid w:val="00B7490D"/>
    <w:rsid w:val="00B8388E"/>
    <w:rsid w:val="00B9571E"/>
    <w:rsid w:val="00B96E2E"/>
    <w:rsid w:val="00BA3452"/>
    <w:rsid w:val="00BB3CEF"/>
    <w:rsid w:val="00BC1B55"/>
    <w:rsid w:val="00BC1C38"/>
    <w:rsid w:val="00BC5DCB"/>
    <w:rsid w:val="00BF32E1"/>
    <w:rsid w:val="00C038AE"/>
    <w:rsid w:val="00C11E46"/>
    <w:rsid w:val="00C17161"/>
    <w:rsid w:val="00C2634B"/>
    <w:rsid w:val="00C32876"/>
    <w:rsid w:val="00C33030"/>
    <w:rsid w:val="00C33AFB"/>
    <w:rsid w:val="00C42295"/>
    <w:rsid w:val="00C42B12"/>
    <w:rsid w:val="00C5061B"/>
    <w:rsid w:val="00C542FF"/>
    <w:rsid w:val="00C54F30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AC8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6C39"/>
    <w:rsid w:val="00D07BFB"/>
    <w:rsid w:val="00D25DF4"/>
    <w:rsid w:val="00D306D5"/>
    <w:rsid w:val="00D30B4E"/>
    <w:rsid w:val="00D34210"/>
    <w:rsid w:val="00D401C7"/>
    <w:rsid w:val="00D43FB3"/>
    <w:rsid w:val="00D533B8"/>
    <w:rsid w:val="00D55B25"/>
    <w:rsid w:val="00D56570"/>
    <w:rsid w:val="00D57F9E"/>
    <w:rsid w:val="00D64D04"/>
    <w:rsid w:val="00D73056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4EC5"/>
    <w:rsid w:val="00DF6593"/>
    <w:rsid w:val="00DF7A6B"/>
    <w:rsid w:val="00E00DE7"/>
    <w:rsid w:val="00E04E85"/>
    <w:rsid w:val="00E05CD9"/>
    <w:rsid w:val="00E0672B"/>
    <w:rsid w:val="00E20D04"/>
    <w:rsid w:val="00E21B74"/>
    <w:rsid w:val="00E263B7"/>
    <w:rsid w:val="00E33082"/>
    <w:rsid w:val="00E3364B"/>
    <w:rsid w:val="00E34712"/>
    <w:rsid w:val="00E366DE"/>
    <w:rsid w:val="00E61116"/>
    <w:rsid w:val="00E7005E"/>
    <w:rsid w:val="00E73510"/>
    <w:rsid w:val="00E80BCF"/>
    <w:rsid w:val="00E82442"/>
    <w:rsid w:val="00E93D4B"/>
    <w:rsid w:val="00EA3CF5"/>
    <w:rsid w:val="00EA638F"/>
    <w:rsid w:val="00EB2EEE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324F"/>
    <w:rsid w:val="00F25BDD"/>
    <w:rsid w:val="00F26607"/>
    <w:rsid w:val="00F2770D"/>
    <w:rsid w:val="00F32A16"/>
    <w:rsid w:val="00F36470"/>
    <w:rsid w:val="00F37715"/>
    <w:rsid w:val="00F42A0C"/>
    <w:rsid w:val="00F45EFC"/>
    <w:rsid w:val="00F56FB3"/>
    <w:rsid w:val="00F63208"/>
    <w:rsid w:val="00F63B30"/>
    <w:rsid w:val="00F63C64"/>
    <w:rsid w:val="00F64E9B"/>
    <w:rsid w:val="00F6572D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04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aliases w:val="TableGrid"/>
    <w:basedOn w:val="a1"/>
    <w:uiPriority w:val="3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F4EC5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qFormat/>
    <w:locked/>
    <w:rsid w:val="00DF4EC5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495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lpP35DJvbFT6dvaZx8SYYKEpeOeruCwD6xgaPyPpn-mCRFZFfZ-1mSYGt8xtfEVbsY1SAr16_Wdi9nWtLkCM5eu8n9vCwcOIJOyTxeU46pY-9F42I8OwgDLCfrj6h3T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FD27-444C-44E2-93A9-08792542F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929</Words>
  <Characters>5296</Characters>
  <Application>Microsoft Office Word</Application>
  <DocSecurity>0</DocSecurity>
  <Lines>44</Lines>
  <Paragraphs>12</Paragraphs>
  <ScaleCrop>false</ScaleCrop>
  <Company>CATT</Company>
  <LinksUpToDate>false</LinksUpToDate>
  <CharactersWithSpaces>6213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6</cp:revision>
  <dcterms:created xsi:type="dcterms:W3CDTF">2021-12-28T01:41:00Z</dcterms:created>
  <dcterms:modified xsi:type="dcterms:W3CDTF">2022-01-04T03:07:00Z</dcterms:modified>
</cp:coreProperties>
</file>